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EA0" w:rsidRPr="00557E31" w:rsidRDefault="006B0695">
      <w:pPr>
        <w:rPr>
          <w:lang w:val="es-MX"/>
        </w:rPr>
      </w:pPr>
      <w:r>
        <w:rPr>
          <w:noProof/>
        </w:rPr>
        <w:drawing>
          <wp:inline distT="0" distB="0" distL="0" distR="0">
            <wp:extent cx="2565915" cy="942481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ntijuanarte2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85" cy="9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57E31">
        <w:rPr>
          <w:lang w:val="es-MX"/>
        </w:rPr>
        <w:t xml:space="preserve">                            </w:t>
      </w:r>
      <w:r>
        <w:rPr>
          <w:noProof/>
        </w:rPr>
        <w:drawing>
          <wp:inline distT="0" distB="0" distL="0" distR="0">
            <wp:extent cx="2406728" cy="1046124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516" cy="104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695" w:rsidRDefault="006B0695" w:rsidP="006B0695">
      <w:pPr>
        <w:spacing w:after="0" w:line="240" w:lineRule="auto"/>
        <w:jc w:val="right"/>
        <w:rPr>
          <w:rFonts w:ascii="Trebuchet MS" w:hAnsi="Trebuchet MS"/>
          <w:b/>
          <w:lang w:val="es-MX"/>
        </w:rPr>
      </w:pPr>
    </w:p>
    <w:p w:rsidR="006B0695" w:rsidRPr="007068CC" w:rsidRDefault="006B0695" w:rsidP="006B0695">
      <w:pPr>
        <w:spacing w:after="0" w:line="240" w:lineRule="auto"/>
        <w:jc w:val="right"/>
        <w:rPr>
          <w:rFonts w:ascii="Century Gothic" w:hAnsi="Century Gothic"/>
          <w:b/>
          <w:sz w:val="24"/>
          <w:szCs w:val="24"/>
          <w:lang w:val="es-MX"/>
        </w:rPr>
      </w:pPr>
      <w:r w:rsidRPr="007068CC">
        <w:rPr>
          <w:rFonts w:ascii="Century Gothic" w:hAnsi="Century Gothic"/>
          <w:b/>
          <w:sz w:val="24"/>
          <w:szCs w:val="24"/>
          <w:lang w:val="es-MX"/>
        </w:rPr>
        <w:t>02 al 04 de Octubre 2015.</w:t>
      </w:r>
    </w:p>
    <w:p w:rsidR="006B0695" w:rsidRPr="007068CC" w:rsidRDefault="006B0695" w:rsidP="006B0695">
      <w:pPr>
        <w:spacing w:after="0" w:line="240" w:lineRule="auto"/>
        <w:ind w:firstLine="720"/>
        <w:jc w:val="center"/>
        <w:rPr>
          <w:rFonts w:ascii="Century Gothic" w:hAnsi="Century Gothic"/>
          <w:b/>
          <w:sz w:val="24"/>
          <w:szCs w:val="24"/>
          <w:lang w:val="es-MX"/>
        </w:rPr>
      </w:pPr>
      <w:r w:rsidRPr="007068CC"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                                                www.entijuanarte.org</w:t>
      </w:r>
    </w:p>
    <w:p w:rsidR="006B0695" w:rsidRPr="00051517" w:rsidRDefault="006B0695">
      <w:pPr>
        <w:rPr>
          <w:rFonts w:ascii="Century Gothic" w:hAnsi="Century Gothic"/>
          <w:b/>
          <w:sz w:val="24"/>
          <w:szCs w:val="24"/>
          <w:lang w:val="es-MX"/>
        </w:rPr>
      </w:pPr>
      <w:r w:rsidRPr="00051517">
        <w:rPr>
          <w:rFonts w:ascii="Century Gothic" w:hAnsi="Century Gothic"/>
          <w:b/>
          <w:sz w:val="24"/>
          <w:szCs w:val="24"/>
          <w:lang w:val="es-MX"/>
        </w:rPr>
        <w:t>COMUNICADO:</w:t>
      </w:r>
    </w:p>
    <w:p w:rsidR="006B0695" w:rsidRPr="00D747F4" w:rsidRDefault="006B0695" w:rsidP="00D747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D747F4" w:rsidRDefault="00D747F4" w:rsidP="00D747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proofErr w:type="spellStart"/>
      <w:r w:rsidRPr="00D747F4">
        <w:rPr>
          <w:rFonts w:ascii="Century Gothic" w:hAnsi="Century Gothic"/>
          <w:b/>
          <w:sz w:val="24"/>
          <w:szCs w:val="24"/>
          <w:lang w:val="es-MX"/>
        </w:rPr>
        <w:t>Entijuanarte</w:t>
      </w:r>
      <w:proofErr w:type="spellEnd"/>
      <w:r w:rsidRPr="00D747F4"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="0066772F">
        <w:rPr>
          <w:rFonts w:ascii="Century Gothic" w:hAnsi="Century Gothic"/>
          <w:b/>
          <w:sz w:val="24"/>
          <w:szCs w:val="24"/>
          <w:lang w:val="es-MX"/>
        </w:rPr>
        <w:t>abre</w:t>
      </w:r>
      <w:r w:rsidRPr="00D747F4">
        <w:rPr>
          <w:rFonts w:ascii="Century Gothic" w:hAnsi="Century Gothic"/>
          <w:b/>
          <w:sz w:val="24"/>
          <w:szCs w:val="24"/>
          <w:lang w:val="es-MX"/>
        </w:rPr>
        <w:t xml:space="preserve"> la convocatoria </w:t>
      </w:r>
    </w:p>
    <w:p w:rsidR="00D747F4" w:rsidRDefault="00D747F4" w:rsidP="00D747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  <w:proofErr w:type="gramStart"/>
      <w:r w:rsidRPr="00D747F4">
        <w:rPr>
          <w:rFonts w:ascii="Century Gothic" w:hAnsi="Century Gothic"/>
          <w:b/>
          <w:sz w:val="24"/>
          <w:szCs w:val="24"/>
          <w:lang w:val="es-MX"/>
        </w:rPr>
        <w:t>para</w:t>
      </w:r>
      <w:proofErr w:type="gramEnd"/>
      <w:r w:rsidRPr="00D747F4">
        <w:rPr>
          <w:rFonts w:ascii="Century Gothic" w:hAnsi="Century Gothic"/>
          <w:b/>
          <w:sz w:val="24"/>
          <w:szCs w:val="24"/>
          <w:lang w:val="es-MX"/>
        </w:rPr>
        <w:t xml:space="preserve"> </w:t>
      </w:r>
      <w:r w:rsidR="0066772F">
        <w:rPr>
          <w:rFonts w:ascii="Century Gothic" w:hAnsi="Century Gothic"/>
          <w:b/>
          <w:sz w:val="24"/>
          <w:szCs w:val="24"/>
          <w:lang w:val="es-MX"/>
        </w:rPr>
        <w:t xml:space="preserve">la participación de </w:t>
      </w:r>
      <w:r w:rsidRPr="00D747F4">
        <w:rPr>
          <w:rFonts w:ascii="Century Gothic" w:hAnsi="Century Gothic"/>
          <w:b/>
          <w:sz w:val="24"/>
          <w:szCs w:val="24"/>
          <w:lang w:val="es-MX"/>
        </w:rPr>
        <w:t>artistas</w:t>
      </w:r>
      <w:r w:rsidR="0066772F">
        <w:rPr>
          <w:rFonts w:ascii="Century Gothic" w:hAnsi="Century Gothic"/>
          <w:b/>
          <w:sz w:val="24"/>
          <w:szCs w:val="24"/>
          <w:lang w:val="es-MX"/>
        </w:rPr>
        <w:t xml:space="preserve"> expositores</w:t>
      </w:r>
    </w:p>
    <w:p w:rsidR="00D747F4" w:rsidRDefault="00D747F4" w:rsidP="00D747F4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  <w:lang w:val="es-MX"/>
        </w:rPr>
      </w:pPr>
    </w:p>
    <w:p w:rsidR="00C3221E" w:rsidRDefault="00C3221E" w:rsidP="00D747F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MX"/>
        </w:rPr>
      </w:pPr>
      <w:proofErr w:type="spellStart"/>
      <w:r w:rsidRPr="00C3221E">
        <w:rPr>
          <w:rFonts w:ascii="Arial" w:hAnsi="Arial" w:cs="Arial"/>
          <w:i/>
          <w:sz w:val="24"/>
          <w:szCs w:val="24"/>
          <w:u w:val="single"/>
          <w:lang w:val="es-MX"/>
        </w:rPr>
        <w:t>Entijuanarte</w:t>
      </w:r>
      <w:proofErr w:type="spellEnd"/>
      <w:r w:rsidRPr="00C3221E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 2015 lanza oficialmente la convocatoria de participación para </w:t>
      </w:r>
    </w:p>
    <w:p w:rsidR="00C3221E" w:rsidRDefault="00C3221E" w:rsidP="00D747F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MX"/>
        </w:rPr>
      </w:pPr>
      <w:proofErr w:type="gramStart"/>
      <w:r w:rsidRPr="00C3221E">
        <w:rPr>
          <w:rFonts w:ascii="Arial" w:hAnsi="Arial" w:cs="Arial"/>
          <w:i/>
          <w:sz w:val="24"/>
          <w:szCs w:val="24"/>
          <w:u w:val="single"/>
          <w:lang w:val="es-MX"/>
        </w:rPr>
        <w:t>aspirantes</w:t>
      </w:r>
      <w:proofErr w:type="gramEnd"/>
      <w:r w:rsidRPr="00C3221E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 a expositores de la onceava edición. </w:t>
      </w:r>
    </w:p>
    <w:p w:rsidR="00D747F4" w:rsidRPr="00C3221E" w:rsidRDefault="00C3221E" w:rsidP="00D747F4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u w:val="single"/>
          <w:lang w:val="es-MX"/>
        </w:rPr>
      </w:pPr>
      <w:r w:rsidRPr="00C3221E">
        <w:rPr>
          <w:rFonts w:ascii="Arial" w:hAnsi="Arial" w:cs="Arial"/>
          <w:i/>
          <w:sz w:val="24"/>
          <w:szCs w:val="24"/>
          <w:u w:val="single"/>
          <w:lang w:val="es-MX"/>
        </w:rPr>
        <w:t>Abierta a partir del 15 de febrero y hasta el 31 de mayo del 2015.</w:t>
      </w:r>
    </w:p>
    <w:p w:rsidR="00C3221E" w:rsidRPr="005625F8" w:rsidRDefault="00C3221E" w:rsidP="00782F4D">
      <w:pPr>
        <w:spacing w:after="0" w:line="240" w:lineRule="auto"/>
        <w:jc w:val="both"/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</w:p>
    <w:p w:rsidR="00C3221E" w:rsidRPr="005625F8" w:rsidRDefault="00C3221E" w:rsidP="00782F4D">
      <w:pPr>
        <w:spacing w:after="0" w:line="240" w:lineRule="auto"/>
        <w:jc w:val="both"/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</w:p>
    <w:p w:rsidR="00051517" w:rsidRPr="005625F8" w:rsidRDefault="00C3221E" w:rsidP="00782F4D">
      <w:pPr>
        <w:spacing w:after="0" w:line="240" w:lineRule="auto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  <w:r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Como cada año, </w:t>
      </w:r>
      <w:proofErr w:type="spellStart"/>
      <w:r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>entijuanarte</w:t>
      </w:r>
      <w:proofErr w:type="spellEnd"/>
      <w:r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 Festival Cultural </w:t>
      </w:r>
      <w:r w:rsidR="0066772F"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>convoca a participar a artistas de distintas disciplinas en la exhibición de arte y cultura.</w:t>
      </w:r>
      <w:r w:rsidR="00051517"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 La cual tiene como objetivo ser una </w:t>
      </w:r>
      <w:r w:rsidR="00051517" w:rsidRPr="005625F8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plataforma profesional de desarrollo y proyección para los artistas creadores plásticos, visuales y multidisciplinarios de la región de Baja California, así como de otros estados de la República y otras partes del mundo.</w:t>
      </w:r>
    </w:p>
    <w:p w:rsidR="0066772F" w:rsidRPr="005625F8" w:rsidRDefault="0066772F" w:rsidP="00782F4D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MX"/>
        </w:rPr>
      </w:pPr>
    </w:p>
    <w:p w:rsidR="0066772F" w:rsidRPr="005625F8" w:rsidRDefault="0066772F" w:rsidP="00782F4D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MX"/>
        </w:rPr>
      </w:pPr>
      <w:r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La onceava edición se enfoca en la exposición, difusión y promoción de propuestas de arte, en sus diversas manifestaciones, </w:t>
      </w:r>
      <w:r w:rsidR="00C35110"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como </w:t>
      </w:r>
      <w:r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la pintura, escultura, fotografía, dibujo, grabado, medios digitales, </w:t>
      </w:r>
      <w:proofErr w:type="spellStart"/>
      <w:r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>perfomance</w:t>
      </w:r>
      <w:proofErr w:type="spellEnd"/>
      <w:r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>, instalación</w:t>
      </w:r>
      <w:r w:rsidR="00051517"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>, artes aplicadas en diseño textil</w:t>
      </w:r>
      <w:r w:rsidR="00300166"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>, arte objeto y artes escénicas.</w:t>
      </w:r>
    </w:p>
    <w:p w:rsidR="00300166" w:rsidRPr="005625F8" w:rsidRDefault="00300166" w:rsidP="00782F4D">
      <w:pPr>
        <w:spacing w:after="0" w:line="240" w:lineRule="auto"/>
        <w:jc w:val="both"/>
        <w:rPr>
          <w:rFonts w:ascii="Century Gothic" w:hAnsi="Century Gothic"/>
          <w:color w:val="000000" w:themeColor="text1"/>
          <w:sz w:val="24"/>
          <w:szCs w:val="24"/>
          <w:lang w:val="es-MX"/>
        </w:rPr>
      </w:pPr>
    </w:p>
    <w:p w:rsidR="005625F8" w:rsidRPr="005625F8" w:rsidRDefault="00300166" w:rsidP="00782F4D">
      <w:pPr>
        <w:spacing w:after="0" w:line="240" w:lineRule="auto"/>
        <w:jc w:val="both"/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  <w:r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>La convocatoria invita a participar a jóvenes creadores que se desempeñen artísticamente en cualquiera de las disciplinas convocadas</w:t>
      </w:r>
      <w:r w:rsidR="00C35110"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>, desde principiantes, emergentes y con trayectoria, ya sea de manera individual o en colectivo.</w:t>
      </w:r>
      <w:r w:rsidR="005625F8" w:rsidRPr="005625F8">
        <w:rPr>
          <w:rFonts w:ascii="Century Gothic" w:hAnsi="Century Gothic"/>
          <w:color w:val="000000" w:themeColor="text1"/>
          <w:sz w:val="24"/>
          <w:szCs w:val="24"/>
          <w:lang w:val="es-MX"/>
        </w:rPr>
        <w:t xml:space="preserve"> </w:t>
      </w:r>
      <w:r w:rsidR="005625F8" w:rsidRPr="005625F8">
        <w:rPr>
          <w:rFonts w:ascii="Century Gothic" w:hAnsi="Century Gothic" w:cs="Arial"/>
          <w:color w:val="000000" w:themeColor="text1"/>
          <w:sz w:val="24"/>
          <w:szCs w:val="24"/>
          <w:shd w:val="clear" w:color="auto" w:fill="FFFFFF"/>
          <w:lang w:val="es-MX"/>
        </w:rPr>
        <w:t>Así también la presente convocatoria se extiende a galerías de arte, asociaciones y proyectos culturales independientes locales, nacionales e internacionales.</w:t>
      </w:r>
    </w:p>
    <w:p w:rsidR="00300166" w:rsidRDefault="00300166" w:rsidP="00782F4D">
      <w:pPr>
        <w:spacing w:after="0" w:line="240" w:lineRule="auto"/>
        <w:jc w:val="both"/>
        <w:rPr>
          <w:rFonts w:ascii="Century Gothic" w:hAnsi="Century Gothic"/>
          <w:sz w:val="24"/>
          <w:szCs w:val="24"/>
          <w:lang w:val="es-MX"/>
        </w:rPr>
      </w:pPr>
    </w:p>
    <w:p w:rsidR="005625F8" w:rsidRDefault="00C35110" w:rsidP="00782F4D">
      <w:pPr>
        <w:spacing w:after="0" w:line="240" w:lineRule="auto"/>
        <w:jc w:val="both"/>
        <w:rPr>
          <w:rFonts w:ascii="Century Gothic" w:hAnsi="Century Gothic"/>
          <w:sz w:val="24"/>
          <w:szCs w:val="24"/>
          <w:lang w:val="es-MX"/>
        </w:rPr>
      </w:pPr>
      <w:r>
        <w:rPr>
          <w:rFonts w:ascii="Century Gothic" w:hAnsi="Century Gothic"/>
          <w:sz w:val="24"/>
          <w:szCs w:val="24"/>
          <w:lang w:val="es-MX"/>
        </w:rPr>
        <w:t xml:space="preserve">El comité organizador elegirá de acuerdo a la </w:t>
      </w:r>
      <w:r w:rsidR="005625F8">
        <w:rPr>
          <w:rFonts w:ascii="Century Gothic" w:hAnsi="Century Gothic"/>
          <w:sz w:val="24"/>
          <w:szCs w:val="24"/>
          <w:lang w:val="es-MX"/>
        </w:rPr>
        <w:t xml:space="preserve">oferta </w:t>
      </w:r>
      <w:r>
        <w:rPr>
          <w:rFonts w:ascii="Century Gothic" w:hAnsi="Century Gothic"/>
          <w:sz w:val="24"/>
          <w:szCs w:val="24"/>
          <w:lang w:val="es-MX"/>
        </w:rPr>
        <w:t xml:space="preserve">artística, así como los espacios disponibles, un número determinado de expositores, aquellos que respondan al enfoque, intereses y objetivos de </w:t>
      </w:r>
      <w:proofErr w:type="spellStart"/>
      <w:r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>
        <w:rPr>
          <w:rFonts w:ascii="Century Gothic" w:hAnsi="Century Gothic"/>
          <w:sz w:val="24"/>
          <w:szCs w:val="24"/>
          <w:lang w:val="es-MX"/>
        </w:rPr>
        <w:t xml:space="preserve"> 2015.</w:t>
      </w:r>
      <w:r w:rsidR="005625F8">
        <w:rPr>
          <w:rFonts w:ascii="Century Gothic" w:hAnsi="Century Gothic"/>
          <w:sz w:val="24"/>
          <w:szCs w:val="24"/>
          <w:lang w:val="es-MX"/>
        </w:rPr>
        <w:t xml:space="preserve"> Además se entregará un número limitado de becas del 100 % del costo del stand de exposición, los cuales se elegirán en las tres categorías (principiantes, </w:t>
      </w:r>
      <w:r w:rsidR="005625F8">
        <w:rPr>
          <w:rFonts w:ascii="Century Gothic" w:hAnsi="Century Gothic"/>
          <w:sz w:val="24"/>
          <w:szCs w:val="24"/>
          <w:lang w:val="es-MX"/>
        </w:rPr>
        <w:lastRenderedPageBreak/>
        <w:t xml:space="preserve">emergentes y con trayectoria) de acuerdo a la calidad de las propuestas recibidas. </w:t>
      </w:r>
    </w:p>
    <w:p w:rsidR="0000057C" w:rsidRDefault="0000057C" w:rsidP="00782F4D">
      <w:pPr>
        <w:spacing w:after="0" w:line="240" w:lineRule="auto"/>
        <w:jc w:val="both"/>
        <w:rPr>
          <w:rFonts w:ascii="Century Gothic" w:hAnsi="Century Gothic"/>
          <w:sz w:val="24"/>
          <w:szCs w:val="24"/>
          <w:lang w:val="es-MX"/>
        </w:rPr>
      </w:pPr>
    </w:p>
    <w:p w:rsidR="0000057C" w:rsidRPr="00CA1E59" w:rsidRDefault="0000057C" w:rsidP="00782F4D">
      <w:pPr>
        <w:spacing w:after="0" w:line="240" w:lineRule="auto"/>
        <w:jc w:val="both"/>
        <w:rPr>
          <w:rFonts w:ascii="Century Gothic" w:hAnsi="Century Gothic" w:cs="Times New Roman"/>
          <w:sz w:val="24"/>
          <w:szCs w:val="24"/>
          <w:lang w:val="es-MX"/>
        </w:rPr>
      </w:pPr>
    </w:p>
    <w:p w:rsidR="002A256C" w:rsidRDefault="00782F4D" w:rsidP="00782F4D">
      <w:pPr>
        <w:spacing w:after="0" w:line="240" w:lineRule="auto"/>
        <w:jc w:val="both"/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</w:pPr>
      <w:r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  <w:t>A partir del 15 de febrero se abrió la convocatoria y l</w:t>
      </w:r>
      <w:r w:rsidR="002A256C" w:rsidRPr="002A256C"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  <w:t xml:space="preserve">a fecha límite de entrega de las propuestas artísticas </w:t>
      </w:r>
      <w:r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  <w:t xml:space="preserve">es el 31 de mayo del 2015, para darse </w:t>
      </w:r>
      <w:r w:rsidR="002A256C" w:rsidRPr="002A256C"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  <w:t>a conocer los nombres de los expositores el 21 de junio del 2015 en la página</w:t>
      </w:r>
      <w:r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  <w:t xml:space="preserve">: </w:t>
      </w:r>
      <w:hyperlink r:id="rId8" w:history="1">
        <w:r w:rsidR="005625F8" w:rsidRPr="00B86289">
          <w:rPr>
            <w:rStyle w:val="Hyperlink"/>
            <w:rFonts w:ascii="Century Gothic" w:hAnsi="Century Gothic"/>
            <w:sz w:val="24"/>
            <w:szCs w:val="24"/>
            <w:shd w:val="clear" w:color="auto" w:fill="FFFFFF"/>
            <w:lang w:val="es-MX"/>
          </w:rPr>
          <w:t>www.entijuanarte.org</w:t>
        </w:r>
      </w:hyperlink>
      <w:r w:rsidR="00E4623C"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  <w:t>.</w:t>
      </w:r>
    </w:p>
    <w:p w:rsidR="005625F8" w:rsidRDefault="005625F8" w:rsidP="00782F4D">
      <w:pPr>
        <w:spacing w:after="0" w:line="240" w:lineRule="auto"/>
        <w:jc w:val="both"/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</w:pPr>
    </w:p>
    <w:p w:rsidR="00E4623C" w:rsidRDefault="00E4623C" w:rsidP="00782F4D">
      <w:pPr>
        <w:spacing w:after="0" w:line="240" w:lineRule="auto"/>
        <w:jc w:val="both"/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</w:pPr>
    </w:p>
    <w:p w:rsidR="00E4623C" w:rsidRDefault="00E4623C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E4623C" w:rsidRDefault="00E4623C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427A8E" w:rsidRDefault="00427A8E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</w:p>
    <w:p w:rsidR="00427A8E" w:rsidRDefault="00427A8E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lang w:val="es-MX"/>
        </w:rPr>
      </w:pPr>
      <w:bookmarkStart w:id="0" w:name="_GoBack"/>
      <w:bookmarkEnd w:id="0"/>
    </w:p>
    <w:p w:rsidR="00E4623C" w:rsidRPr="00E4623C" w:rsidRDefault="00E4623C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4F81BD" w:themeColor="accent1"/>
          <w:lang w:val="es-MX"/>
        </w:rPr>
      </w:pPr>
      <w:r w:rsidRPr="00E4623C">
        <w:rPr>
          <w:rFonts w:ascii="Century Gothic" w:hAnsi="Century Gothic" w:cs="Arial"/>
          <w:b/>
          <w:bCs/>
          <w:color w:val="4F81BD" w:themeColor="accent1"/>
          <w:lang w:val="es-MX"/>
        </w:rPr>
        <w:t>Atentamente</w:t>
      </w:r>
    </w:p>
    <w:p w:rsidR="00E4623C" w:rsidRPr="00E4623C" w:rsidRDefault="00E4623C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4F81BD" w:themeColor="accent1"/>
          <w:lang w:val="es-MX"/>
        </w:rPr>
      </w:pPr>
    </w:p>
    <w:p w:rsidR="00E4623C" w:rsidRPr="00610B2E" w:rsidRDefault="00E4623C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r w:rsidRPr="00610B2E">
        <w:rPr>
          <w:rFonts w:ascii="Century Gothic" w:hAnsi="Century Gothic" w:cs="Arial"/>
          <w:b/>
          <w:bCs/>
          <w:color w:val="7F7F7F"/>
          <w:lang w:val="es-MX"/>
        </w:rPr>
        <w:t>Coordinación de Comunicación y Prensa</w:t>
      </w:r>
    </w:p>
    <w:p w:rsidR="00E4623C" w:rsidRPr="00610B2E" w:rsidRDefault="00E4623C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lang w:val="es-MX"/>
        </w:rPr>
      </w:pPr>
      <w:proofErr w:type="spellStart"/>
      <w:proofErr w:type="gramStart"/>
      <w:r w:rsidRPr="00610B2E">
        <w:rPr>
          <w:rFonts w:ascii="Century Gothic" w:hAnsi="Century Gothic" w:cs="Arial"/>
          <w:b/>
          <w:bCs/>
          <w:color w:val="7F7F7F"/>
          <w:lang w:val="es-MX"/>
        </w:rPr>
        <w:t>en</w:t>
      </w:r>
      <w:r w:rsidRPr="00E4623C">
        <w:rPr>
          <w:rFonts w:ascii="Century Gothic" w:hAnsi="Century Gothic" w:cs="Arial"/>
          <w:b/>
          <w:bCs/>
          <w:color w:val="4F81BD" w:themeColor="accent1"/>
          <w:lang w:val="es-MX"/>
        </w:rPr>
        <w:t>tijuana</w:t>
      </w:r>
      <w:r>
        <w:rPr>
          <w:rFonts w:ascii="Century Gothic" w:hAnsi="Century Gothic" w:cs="Arial"/>
          <w:b/>
          <w:bCs/>
          <w:color w:val="7F7F7F"/>
          <w:lang w:val="es-MX"/>
        </w:rPr>
        <w:t>rte</w:t>
      </w:r>
      <w:proofErr w:type="spellEnd"/>
      <w:proofErr w:type="gramEnd"/>
      <w:r>
        <w:rPr>
          <w:rFonts w:ascii="Century Gothic" w:hAnsi="Century Gothic" w:cs="Arial"/>
          <w:b/>
          <w:bCs/>
          <w:color w:val="7F7F7F"/>
          <w:lang w:val="es-MX"/>
        </w:rPr>
        <w:t xml:space="preserve"> 2015 I festival cultural</w:t>
      </w:r>
    </w:p>
    <w:p w:rsidR="00E4623C" w:rsidRDefault="00E4623C" w:rsidP="00E4623C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7F7F7F"/>
          <w:rtl/>
          <w:lang w:val="es-MX"/>
        </w:rPr>
      </w:pPr>
      <w:r>
        <w:rPr>
          <w:rFonts w:ascii="Century Gothic" w:hAnsi="Century Gothic" w:cs="Arial"/>
          <w:b/>
          <w:bCs/>
          <w:color w:val="7F7F7F"/>
          <w:lang w:val="es-MX"/>
        </w:rPr>
        <w:t>Tel</w:t>
      </w:r>
      <w:proofErr w:type="gramStart"/>
      <w:r>
        <w:rPr>
          <w:rFonts w:ascii="Century Gothic" w:hAnsi="Century Gothic" w:cs="Arial"/>
          <w:b/>
          <w:bCs/>
          <w:color w:val="7F7F7F"/>
          <w:lang w:val="es-MX"/>
        </w:rPr>
        <w:t>.(</w:t>
      </w:r>
      <w:proofErr w:type="gramEnd"/>
      <w:r>
        <w:rPr>
          <w:rFonts w:ascii="Century Gothic" w:hAnsi="Century Gothic" w:cs="Arial"/>
          <w:b/>
          <w:bCs/>
          <w:color w:val="7F7F7F"/>
          <w:lang w:val="es-MX"/>
        </w:rPr>
        <w:t xml:space="preserve">664) 104-53-43 Allende #2 y </w:t>
      </w:r>
      <w:proofErr w:type="spellStart"/>
      <w:r>
        <w:rPr>
          <w:rFonts w:ascii="Century Gothic" w:hAnsi="Century Gothic" w:cs="Arial"/>
          <w:b/>
          <w:bCs/>
          <w:color w:val="7F7F7F"/>
          <w:lang w:val="es-MX"/>
        </w:rPr>
        <w:t>Agust</w:t>
      </w:r>
      <w:proofErr w:type="spellEnd"/>
      <w:r>
        <w:rPr>
          <w:rFonts w:ascii="Arial" w:hAnsi="Arial" w:cs="Arial"/>
          <w:b/>
          <w:bCs/>
          <w:color w:val="7F7F7F"/>
          <w:rtl/>
          <w:lang w:val="es-MX"/>
        </w:rPr>
        <w:t>ín Melgar</w:t>
      </w:r>
    </w:p>
    <w:p w:rsidR="00E4623C" w:rsidRDefault="00E4623C" w:rsidP="00557E3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7F7F7F"/>
          <w:rtl/>
          <w:lang w:val="es-MX"/>
        </w:rPr>
      </w:pPr>
      <w:r>
        <w:rPr>
          <w:rFonts w:ascii="Arial" w:hAnsi="Arial" w:cs="Arial"/>
          <w:b/>
          <w:bCs/>
          <w:color w:val="7F7F7F"/>
          <w:rtl/>
          <w:lang w:val="es-MX"/>
        </w:rPr>
        <w:t xml:space="preserve">Fracc.Moreno en contra esquina     </w:t>
      </w:r>
      <w:r w:rsidR="00557E31">
        <w:rPr>
          <w:rFonts w:ascii="Arial" w:hAnsi="Arial" w:cs="Arial"/>
          <w:b/>
          <w:bCs/>
          <w:color w:val="7F7F7F"/>
          <w:rtl/>
          <w:lang w:val="es-MX"/>
        </w:rPr>
        <w:t xml:space="preserve">  </w:t>
      </w:r>
    </w:p>
    <w:p w:rsidR="00557E31" w:rsidRPr="00557E31" w:rsidRDefault="00557E31" w:rsidP="00557E31">
      <w:pPr>
        <w:spacing w:after="0" w:line="240" w:lineRule="auto"/>
        <w:jc w:val="center"/>
        <w:rPr>
          <w:rFonts w:ascii="Arial" w:hAnsi="Arial" w:cs="Arial"/>
          <w:b/>
          <w:color w:val="808080" w:themeColor="background1" w:themeShade="80"/>
          <w:sz w:val="24"/>
          <w:szCs w:val="24"/>
          <w:rtl/>
          <w:lang w:val="es-MX"/>
        </w:rPr>
      </w:pPr>
      <w:proofErr w:type="gramStart"/>
      <w:r w:rsidRPr="00557E31">
        <w:rPr>
          <w:rFonts w:ascii="Arial" w:hAnsi="Arial" w:cs="Arial"/>
          <w:b/>
          <w:color w:val="808080" w:themeColor="background1" w:themeShade="80"/>
          <w:sz w:val="24"/>
          <w:szCs w:val="24"/>
          <w:lang w:val="es-MX"/>
        </w:rPr>
        <w:t>de</w:t>
      </w:r>
      <w:proofErr w:type="gramEnd"/>
      <w:r w:rsidRPr="00557E31">
        <w:rPr>
          <w:rFonts w:ascii="Arial" w:hAnsi="Arial" w:cs="Arial"/>
          <w:b/>
          <w:color w:val="808080" w:themeColor="background1" w:themeShade="80"/>
          <w:sz w:val="24"/>
          <w:szCs w:val="24"/>
          <w:lang w:val="es-MX"/>
        </w:rPr>
        <w:t xml:space="preserve"> la Delegación La Mesa</w:t>
      </w:r>
    </w:p>
    <w:p w:rsidR="00557E31" w:rsidRPr="00557E31" w:rsidRDefault="00557E31" w:rsidP="00557E31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4F81BD" w:themeColor="accent1"/>
          <w:lang w:val="es-MX"/>
        </w:rPr>
      </w:pPr>
      <w:hyperlink r:id="rId9" w:history="1">
        <w:r w:rsidRPr="00557E31">
          <w:rPr>
            <w:rStyle w:val="Hyperlink"/>
            <w:rFonts w:ascii="Century Gothic" w:hAnsi="Century Gothic" w:cs="Arial"/>
            <w:b/>
            <w:bCs/>
            <w:color w:val="4F81BD" w:themeColor="accent1"/>
            <w:lang w:val="es-MX"/>
          </w:rPr>
          <w:t>www.entijuanarte.org</w:t>
        </w:r>
      </w:hyperlink>
    </w:p>
    <w:p w:rsidR="00E4623C" w:rsidRDefault="00E4623C" w:rsidP="00782F4D">
      <w:pPr>
        <w:spacing w:after="0" w:line="240" w:lineRule="auto"/>
        <w:jc w:val="both"/>
        <w:rPr>
          <w:rFonts w:ascii="Century Gothic" w:hAnsi="Century Gothic"/>
          <w:color w:val="444444"/>
          <w:sz w:val="24"/>
          <w:szCs w:val="24"/>
          <w:shd w:val="clear" w:color="auto" w:fill="FFFFFF"/>
          <w:lang w:val="es-MX"/>
        </w:rPr>
      </w:pPr>
    </w:p>
    <w:p w:rsidR="005625F8" w:rsidRPr="005625F8" w:rsidRDefault="005625F8" w:rsidP="002A256C">
      <w:pPr>
        <w:spacing w:after="0" w:line="240" w:lineRule="auto"/>
        <w:rPr>
          <w:rFonts w:ascii="Century Gothic" w:hAnsi="Century Gothic"/>
          <w:b/>
          <w:sz w:val="24"/>
          <w:szCs w:val="24"/>
          <w:lang w:val="es-MX"/>
        </w:rPr>
      </w:pPr>
    </w:p>
    <w:sectPr w:rsidR="005625F8" w:rsidRPr="005625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95"/>
    <w:rsid w:val="0000057C"/>
    <w:rsid w:val="00051517"/>
    <w:rsid w:val="00066EA0"/>
    <w:rsid w:val="002A256C"/>
    <w:rsid w:val="00300166"/>
    <w:rsid w:val="00427A8E"/>
    <w:rsid w:val="00557E31"/>
    <w:rsid w:val="005625F8"/>
    <w:rsid w:val="0066772F"/>
    <w:rsid w:val="006B0695"/>
    <w:rsid w:val="007068CC"/>
    <w:rsid w:val="00782F4D"/>
    <w:rsid w:val="00C3221E"/>
    <w:rsid w:val="00C35110"/>
    <w:rsid w:val="00CA1E59"/>
    <w:rsid w:val="00D747F4"/>
    <w:rsid w:val="00E4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695"/>
    <w:rPr>
      <w:rFonts w:ascii="Tahoma" w:hAnsi="Tahoma" w:cs="Tahoma"/>
      <w:sz w:val="16"/>
      <w:szCs w:val="16"/>
    </w:rPr>
  </w:style>
  <w:style w:type="character" w:styleId="Hyperlink">
    <w:name w:val="Hyperlink"/>
    <w:rsid w:val="006B0695"/>
    <w:rPr>
      <w:color w:val="0000FF"/>
      <w:u w:val="single"/>
    </w:rPr>
  </w:style>
  <w:style w:type="paragraph" w:customStyle="1" w:styleId="ecxmsonormal">
    <w:name w:val="ecxmsonormal"/>
    <w:basedOn w:val="Normal"/>
    <w:rsid w:val="00E4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tijuanarte.or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ntijuanar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5D607-CA2F-49C6-8535-A0F7CE4AC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9</cp:revision>
  <dcterms:created xsi:type="dcterms:W3CDTF">2015-02-19T19:33:00Z</dcterms:created>
  <dcterms:modified xsi:type="dcterms:W3CDTF">2015-02-19T21:11:00Z</dcterms:modified>
</cp:coreProperties>
</file>