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4E8" w:rsidRPr="002614F2" w:rsidRDefault="00152075">
      <w:pPr>
        <w:rPr>
          <w:lang w:val="es-ES"/>
        </w:rPr>
      </w:pPr>
      <w:r>
        <w:rPr>
          <w:noProof/>
          <w:lang w:val="es-ES" w:eastAsia="es-ES"/>
        </w:rPr>
        <w:drawing>
          <wp:inline distT="0" distB="0" distL="0" distR="0">
            <wp:extent cx="1933575" cy="840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33575" cy="840461"/>
                    </a:xfrm>
                    <a:prstGeom prst="rect">
                      <a:avLst/>
                    </a:prstGeom>
                  </pic:spPr>
                </pic:pic>
              </a:graphicData>
            </a:graphic>
          </wp:inline>
        </w:drawing>
      </w:r>
      <w:r w:rsidRPr="002614F2">
        <w:rPr>
          <w:lang w:val="es-ES"/>
        </w:rPr>
        <w:t xml:space="preserve">                                    </w:t>
      </w:r>
      <w:r>
        <w:rPr>
          <w:noProof/>
          <w:lang w:val="es-ES" w:eastAsia="es-ES"/>
        </w:rPr>
        <w:drawing>
          <wp:inline distT="0" distB="0" distL="0" distR="0">
            <wp:extent cx="2860847" cy="6941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r logo.jpe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68425" cy="695961"/>
                    </a:xfrm>
                    <a:prstGeom prst="rect">
                      <a:avLst/>
                    </a:prstGeom>
                  </pic:spPr>
                </pic:pic>
              </a:graphicData>
            </a:graphic>
          </wp:inline>
        </w:drawing>
      </w:r>
    </w:p>
    <w:p w:rsidR="00152075" w:rsidRPr="004643D5" w:rsidRDefault="00152075" w:rsidP="00152075">
      <w:pPr>
        <w:spacing w:after="0" w:line="240" w:lineRule="auto"/>
        <w:rPr>
          <w:rFonts w:ascii="Century Gothic" w:hAnsi="Century Gothic"/>
          <w:sz w:val="24"/>
          <w:szCs w:val="24"/>
          <w:lang w:val="es-MX"/>
        </w:rPr>
      </w:pPr>
      <w:r w:rsidRPr="00152075">
        <w:rPr>
          <w:rFonts w:ascii="Century Gothic" w:hAnsi="Century Gothic"/>
          <w:b/>
          <w:sz w:val="24"/>
          <w:szCs w:val="24"/>
          <w:lang w:val="es-MX"/>
        </w:rPr>
        <w:t xml:space="preserve">COMUNICADO                              </w:t>
      </w:r>
      <w:r>
        <w:rPr>
          <w:rFonts w:ascii="Century Gothic" w:hAnsi="Century Gothic"/>
          <w:b/>
          <w:sz w:val="24"/>
          <w:szCs w:val="24"/>
          <w:lang w:val="es-MX"/>
        </w:rPr>
        <w:t xml:space="preserve">                                 </w:t>
      </w:r>
      <w:proofErr w:type="spellStart"/>
      <w:r w:rsidRPr="00D2412F">
        <w:rPr>
          <w:rFonts w:ascii="Century Gothic" w:hAnsi="Century Gothic"/>
          <w:sz w:val="24"/>
          <w:szCs w:val="24"/>
          <w:lang w:val="es-MX"/>
        </w:rPr>
        <w:t>entijuanarte</w:t>
      </w:r>
      <w:proofErr w:type="spellEnd"/>
      <w:r w:rsidRPr="00D2412F">
        <w:rPr>
          <w:rFonts w:ascii="Century Gothic" w:hAnsi="Century Gothic"/>
          <w:sz w:val="24"/>
          <w:szCs w:val="24"/>
          <w:lang w:val="es-MX"/>
        </w:rPr>
        <w:t xml:space="preserve"> I festival cultural</w:t>
      </w:r>
    </w:p>
    <w:p w:rsidR="00152075" w:rsidRPr="00507C75" w:rsidRDefault="00152075" w:rsidP="00152075">
      <w:pPr>
        <w:spacing w:after="0" w:line="240" w:lineRule="auto"/>
        <w:jc w:val="right"/>
        <w:rPr>
          <w:rFonts w:ascii="Century Gothic" w:hAnsi="Century Gothic"/>
          <w:sz w:val="24"/>
          <w:szCs w:val="24"/>
          <w:lang w:val="es-MX"/>
        </w:rPr>
      </w:pPr>
      <w:r w:rsidRPr="00D2412F">
        <w:rPr>
          <w:rFonts w:ascii="Century Gothic" w:hAnsi="Century Gothic"/>
          <w:sz w:val="24"/>
          <w:szCs w:val="24"/>
          <w:lang w:val="es-MX"/>
        </w:rPr>
        <w:t xml:space="preserve">2014/10ma. </w:t>
      </w:r>
      <w:proofErr w:type="gramStart"/>
      <w:r w:rsidRPr="00D2412F">
        <w:rPr>
          <w:rFonts w:ascii="Century Gothic" w:hAnsi="Century Gothic"/>
          <w:sz w:val="24"/>
          <w:szCs w:val="24"/>
          <w:lang w:val="es-MX"/>
        </w:rPr>
        <w:t>edici</w:t>
      </w:r>
      <w:r w:rsidRPr="00507C75">
        <w:rPr>
          <w:rFonts w:ascii="Century Gothic" w:hAnsi="Century Gothic"/>
          <w:sz w:val="24"/>
          <w:szCs w:val="24"/>
          <w:lang w:val="es-MX"/>
        </w:rPr>
        <w:t>ón</w:t>
      </w:r>
      <w:proofErr w:type="gramEnd"/>
    </w:p>
    <w:p w:rsidR="00152075" w:rsidRDefault="00152075">
      <w:pPr>
        <w:rPr>
          <w:rFonts w:ascii="Century Gothic" w:hAnsi="Century Gothic"/>
          <w:b/>
          <w:sz w:val="24"/>
          <w:szCs w:val="24"/>
          <w:lang w:val="es-MX"/>
        </w:rPr>
      </w:pPr>
    </w:p>
    <w:p w:rsidR="00152075" w:rsidRDefault="00152075" w:rsidP="002614F2">
      <w:pPr>
        <w:jc w:val="center"/>
        <w:rPr>
          <w:rFonts w:ascii="Century Gothic" w:hAnsi="Century Gothic"/>
          <w:b/>
          <w:sz w:val="24"/>
          <w:szCs w:val="24"/>
          <w:lang w:val="es-MX"/>
        </w:rPr>
      </w:pPr>
    </w:p>
    <w:p w:rsidR="00F63648" w:rsidRDefault="00F63648" w:rsidP="00F63648">
      <w:pPr>
        <w:spacing w:after="0" w:line="240" w:lineRule="auto"/>
        <w:jc w:val="center"/>
        <w:rPr>
          <w:rFonts w:ascii="Century Gothic" w:hAnsi="Century Gothic"/>
          <w:b/>
          <w:sz w:val="24"/>
          <w:szCs w:val="24"/>
          <w:lang w:val="es-MX"/>
        </w:rPr>
      </w:pPr>
      <w:r>
        <w:rPr>
          <w:rFonts w:ascii="Century Gothic" w:hAnsi="Century Gothic"/>
          <w:b/>
          <w:sz w:val="24"/>
          <w:szCs w:val="24"/>
          <w:lang w:val="es-MX"/>
        </w:rPr>
        <w:t>Conferencia con el maestro</w:t>
      </w:r>
    </w:p>
    <w:p w:rsidR="00F63648" w:rsidRDefault="00F63648" w:rsidP="00F63648">
      <w:pPr>
        <w:spacing w:after="0" w:line="240" w:lineRule="auto"/>
        <w:jc w:val="center"/>
        <w:rPr>
          <w:rFonts w:ascii="Century Gothic" w:hAnsi="Century Gothic"/>
          <w:b/>
          <w:sz w:val="24"/>
          <w:szCs w:val="24"/>
          <w:lang w:val="es-MX"/>
        </w:rPr>
      </w:pPr>
      <w:r>
        <w:rPr>
          <w:rFonts w:ascii="Century Gothic" w:hAnsi="Century Gothic"/>
          <w:b/>
          <w:sz w:val="24"/>
          <w:szCs w:val="24"/>
          <w:lang w:val="es-MX"/>
        </w:rPr>
        <w:t>Gustavo Cantero</w:t>
      </w:r>
    </w:p>
    <w:p w:rsidR="00434D7E" w:rsidRDefault="003C3D02" w:rsidP="00F63648">
      <w:pPr>
        <w:spacing w:after="0" w:line="240" w:lineRule="auto"/>
        <w:jc w:val="center"/>
        <w:rPr>
          <w:rFonts w:ascii="Century Gothic" w:hAnsi="Century Gothic"/>
          <w:b/>
          <w:sz w:val="24"/>
          <w:szCs w:val="24"/>
          <w:lang w:val="es-MX"/>
        </w:rPr>
      </w:pPr>
      <w:bookmarkStart w:id="0" w:name="_GoBack"/>
      <w:bookmarkEnd w:id="0"/>
      <w:r>
        <w:rPr>
          <w:rFonts w:ascii="Century Gothic" w:hAnsi="Century Gothic"/>
          <w:b/>
          <w:sz w:val="24"/>
          <w:szCs w:val="24"/>
          <w:lang w:val="es-MX"/>
        </w:rPr>
        <w:t xml:space="preserve"> </w:t>
      </w:r>
      <w:r w:rsidR="00434D7E">
        <w:rPr>
          <w:rFonts w:ascii="Century Gothic" w:hAnsi="Century Gothic"/>
          <w:b/>
          <w:sz w:val="24"/>
          <w:szCs w:val="24"/>
          <w:lang w:val="es-MX"/>
        </w:rPr>
        <w:t>‘’Voces de la Cultura’’</w:t>
      </w:r>
    </w:p>
    <w:p w:rsidR="0083376E" w:rsidRDefault="0083376E" w:rsidP="00F63648">
      <w:pPr>
        <w:pStyle w:val="ecxmsonormal"/>
        <w:shd w:val="clear" w:color="auto" w:fill="FFFFFF"/>
        <w:spacing w:before="0" w:beforeAutospacing="0" w:after="0" w:afterAutospacing="0"/>
        <w:jc w:val="center"/>
        <w:rPr>
          <w:rFonts w:ascii="Century Gothic" w:hAnsi="Century Gothic" w:cs="Arial"/>
          <w:b/>
          <w:bCs/>
          <w:color w:val="9BBB59"/>
          <w:lang w:val="es-MX"/>
        </w:rPr>
      </w:pPr>
    </w:p>
    <w:p w:rsidR="00C272A3" w:rsidRDefault="0083376E" w:rsidP="00C272A3">
      <w:pPr>
        <w:spacing w:after="0" w:line="240" w:lineRule="auto"/>
        <w:jc w:val="center"/>
        <w:rPr>
          <w:rFonts w:ascii="Arial" w:hAnsi="Arial" w:cs="Arial"/>
          <w:i/>
          <w:color w:val="444444"/>
          <w:sz w:val="24"/>
          <w:szCs w:val="24"/>
          <w:u w:val="single"/>
          <w:shd w:val="clear" w:color="auto" w:fill="FFFFFF"/>
          <w:lang w:val="es-MX"/>
        </w:rPr>
      </w:pPr>
      <w:r w:rsidRPr="0010789A">
        <w:rPr>
          <w:rFonts w:ascii="Arial" w:hAnsi="Arial" w:cs="Arial"/>
          <w:i/>
          <w:color w:val="444444"/>
          <w:sz w:val="24"/>
          <w:szCs w:val="24"/>
          <w:u w:val="single"/>
          <w:shd w:val="clear" w:color="auto" w:fill="FFFFFF"/>
          <w:lang w:val="es-MX"/>
        </w:rPr>
        <w:t xml:space="preserve">Como parte de las actividades </w:t>
      </w:r>
      <w:r w:rsidR="00EF3514" w:rsidRPr="0010789A">
        <w:rPr>
          <w:rFonts w:ascii="Arial" w:hAnsi="Arial" w:cs="Arial"/>
          <w:i/>
          <w:color w:val="444444"/>
          <w:sz w:val="24"/>
          <w:szCs w:val="24"/>
          <w:u w:val="single"/>
          <w:shd w:val="clear" w:color="auto" w:fill="FFFFFF"/>
          <w:lang w:val="es-MX"/>
        </w:rPr>
        <w:t xml:space="preserve">del décimo aniversario </w:t>
      </w:r>
      <w:r w:rsidRPr="0010789A">
        <w:rPr>
          <w:rFonts w:ascii="Arial" w:hAnsi="Arial" w:cs="Arial"/>
          <w:i/>
          <w:color w:val="444444"/>
          <w:sz w:val="24"/>
          <w:szCs w:val="24"/>
          <w:u w:val="single"/>
          <w:shd w:val="clear" w:color="auto" w:fill="FFFFFF"/>
          <w:lang w:val="es-MX"/>
        </w:rPr>
        <w:t>de </w:t>
      </w:r>
      <w:proofErr w:type="spellStart"/>
      <w:r w:rsidRPr="0010789A">
        <w:rPr>
          <w:rFonts w:ascii="Arial" w:hAnsi="Arial" w:cs="Arial"/>
          <w:i/>
          <w:iCs/>
          <w:color w:val="444444"/>
          <w:sz w:val="24"/>
          <w:szCs w:val="24"/>
          <w:u w:val="single"/>
          <w:shd w:val="clear" w:color="auto" w:fill="FFFFFF"/>
          <w:lang w:val="es-MX"/>
        </w:rPr>
        <w:t>entijuanrte</w:t>
      </w:r>
      <w:proofErr w:type="spellEnd"/>
      <w:r w:rsidRPr="0010789A">
        <w:rPr>
          <w:rFonts w:ascii="Arial" w:hAnsi="Arial" w:cs="Arial"/>
          <w:i/>
          <w:iCs/>
          <w:color w:val="444444"/>
          <w:sz w:val="24"/>
          <w:szCs w:val="24"/>
          <w:u w:val="single"/>
          <w:shd w:val="clear" w:color="auto" w:fill="FFFFFF"/>
          <w:lang w:val="es-MX"/>
        </w:rPr>
        <w:t>/frontera creativa</w:t>
      </w:r>
      <w:r w:rsidR="00F63648">
        <w:rPr>
          <w:rFonts w:ascii="Arial" w:hAnsi="Arial" w:cs="Arial"/>
          <w:i/>
          <w:color w:val="444444"/>
          <w:sz w:val="24"/>
          <w:szCs w:val="24"/>
          <w:u w:val="single"/>
          <w:shd w:val="clear" w:color="auto" w:fill="FFFFFF"/>
          <w:lang w:val="es-MX"/>
        </w:rPr>
        <w:t> 2014, en el marco de</w:t>
      </w:r>
      <w:r w:rsidR="00C272A3" w:rsidRPr="0010789A">
        <w:rPr>
          <w:rFonts w:ascii="Arial" w:hAnsi="Arial" w:cs="Arial"/>
          <w:i/>
          <w:color w:val="444444"/>
          <w:sz w:val="24"/>
          <w:szCs w:val="24"/>
          <w:u w:val="single"/>
          <w:shd w:val="clear" w:color="auto" w:fill="FFFFFF"/>
          <w:lang w:val="es-MX"/>
        </w:rPr>
        <w:t xml:space="preserve"> ciclo de conferencias: ‘’Voces de la </w:t>
      </w:r>
      <w:r w:rsidR="00F63648">
        <w:rPr>
          <w:rFonts w:ascii="Arial" w:hAnsi="Arial" w:cs="Arial"/>
          <w:i/>
          <w:color w:val="444444"/>
          <w:sz w:val="24"/>
          <w:szCs w:val="24"/>
          <w:u w:val="single"/>
          <w:shd w:val="clear" w:color="auto" w:fill="FFFFFF"/>
          <w:lang w:val="es-MX"/>
        </w:rPr>
        <w:t xml:space="preserve">cultura’’ </w:t>
      </w:r>
      <w:r w:rsidR="00F60308">
        <w:rPr>
          <w:rFonts w:ascii="Arial" w:hAnsi="Arial" w:cs="Arial"/>
          <w:i/>
          <w:color w:val="444444"/>
          <w:sz w:val="24"/>
          <w:szCs w:val="24"/>
          <w:u w:val="single"/>
          <w:shd w:val="clear" w:color="auto" w:fill="FFFFFF"/>
          <w:lang w:val="es-MX"/>
        </w:rPr>
        <w:t xml:space="preserve">se llevó a cabo </w:t>
      </w:r>
      <w:r w:rsidR="00E74DFE">
        <w:rPr>
          <w:rFonts w:ascii="Arial" w:hAnsi="Arial" w:cs="Arial"/>
          <w:i/>
          <w:color w:val="444444"/>
          <w:sz w:val="24"/>
          <w:szCs w:val="24"/>
          <w:u w:val="single"/>
          <w:shd w:val="clear" w:color="auto" w:fill="FFFFFF"/>
          <w:lang w:val="es-MX"/>
        </w:rPr>
        <w:t xml:space="preserve">una </w:t>
      </w:r>
      <w:r w:rsidR="00F63648">
        <w:rPr>
          <w:rFonts w:ascii="Arial" w:hAnsi="Arial" w:cs="Arial"/>
          <w:i/>
          <w:color w:val="444444"/>
          <w:sz w:val="24"/>
          <w:szCs w:val="24"/>
          <w:u w:val="single"/>
          <w:shd w:val="clear" w:color="auto" w:fill="FFFFFF"/>
          <w:lang w:val="es-MX"/>
        </w:rPr>
        <w:t>ponencia con el maestro Gustavo Cantero.</w:t>
      </w:r>
    </w:p>
    <w:p w:rsidR="0083376E" w:rsidRDefault="0083376E" w:rsidP="0083376E">
      <w:pPr>
        <w:spacing w:after="0" w:line="240" w:lineRule="auto"/>
        <w:jc w:val="center"/>
        <w:rPr>
          <w:rFonts w:ascii="Arial" w:hAnsi="Arial" w:cs="Arial"/>
          <w:i/>
          <w:color w:val="444444"/>
          <w:sz w:val="24"/>
          <w:szCs w:val="24"/>
          <w:u w:val="single"/>
          <w:shd w:val="clear" w:color="auto" w:fill="FFFFFF"/>
          <w:lang w:val="es-MX"/>
        </w:rPr>
      </w:pPr>
    </w:p>
    <w:p w:rsidR="00354EA2" w:rsidRDefault="00354EA2" w:rsidP="0010789A">
      <w:pPr>
        <w:pStyle w:val="paragraphstyle1"/>
        <w:shd w:val="clear" w:color="auto" w:fill="FFFFFF"/>
        <w:spacing w:before="0" w:beforeAutospacing="0" w:after="0" w:afterAutospacing="0" w:line="270" w:lineRule="atLeast"/>
        <w:jc w:val="both"/>
        <w:rPr>
          <w:rFonts w:ascii="Century Gothic" w:hAnsi="Century Gothic"/>
          <w:lang w:val="es-ES"/>
        </w:rPr>
      </w:pPr>
    </w:p>
    <w:p w:rsidR="003C3D02" w:rsidRPr="003C3D02" w:rsidRDefault="00F63648" w:rsidP="003C3D02">
      <w:pPr>
        <w:shd w:val="clear" w:color="auto" w:fill="FFFFFF"/>
        <w:spacing w:after="0" w:line="319" w:lineRule="atLeast"/>
        <w:jc w:val="both"/>
        <w:rPr>
          <w:rFonts w:ascii="Century Gothic" w:eastAsia="Times New Roman" w:hAnsi="Century Gothic" w:cs="Arial"/>
          <w:color w:val="000000" w:themeColor="text1"/>
          <w:sz w:val="24"/>
          <w:szCs w:val="24"/>
          <w:lang w:val="es-MX"/>
        </w:rPr>
      </w:pPr>
      <w:r w:rsidRPr="003C3D02">
        <w:rPr>
          <w:rFonts w:ascii="Century Gothic" w:hAnsi="Century Gothic"/>
          <w:color w:val="000000" w:themeColor="text1"/>
          <w:sz w:val="24"/>
          <w:szCs w:val="24"/>
          <w:lang w:val="es-ES"/>
        </w:rPr>
        <w:t>En el segunda jornada del ciclo de conferencias ‘’Voces de la cultura’’</w:t>
      </w:r>
      <w:r w:rsidR="00F60308" w:rsidRPr="003C3D02">
        <w:rPr>
          <w:rFonts w:ascii="Century Gothic" w:hAnsi="Century Gothic"/>
          <w:color w:val="000000" w:themeColor="text1"/>
          <w:sz w:val="24"/>
          <w:szCs w:val="24"/>
          <w:lang w:val="es-ES"/>
        </w:rPr>
        <w:t>, Gustavo Cantero, sociólogo y politólogo</w:t>
      </w:r>
      <w:r w:rsidR="003C3D02" w:rsidRPr="003C3D02">
        <w:rPr>
          <w:rFonts w:ascii="Century Gothic" w:hAnsi="Century Gothic"/>
          <w:color w:val="000000" w:themeColor="text1"/>
          <w:sz w:val="24"/>
          <w:szCs w:val="24"/>
          <w:lang w:val="es-ES"/>
        </w:rPr>
        <w:t>, impartió la conferencia:</w:t>
      </w:r>
      <w:r w:rsidR="003C3D02" w:rsidRPr="003C3D02">
        <w:rPr>
          <w:rFonts w:ascii="Century Gothic" w:eastAsia="Times New Roman" w:hAnsi="Century Gothic" w:cs="Arial"/>
          <w:color w:val="000000" w:themeColor="text1"/>
          <w:sz w:val="24"/>
          <w:szCs w:val="24"/>
          <w:lang w:val="es-MX"/>
        </w:rPr>
        <w:t xml:space="preserve"> “Acciones de la sociedad civil para mejorar el entorno urbano. Los casos de Tijuana y Nogales’’.</w:t>
      </w:r>
    </w:p>
    <w:p w:rsidR="003C3D02" w:rsidRPr="003C3D02" w:rsidRDefault="003C3D02" w:rsidP="003C3D02">
      <w:pPr>
        <w:shd w:val="clear" w:color="auto" w:fill="FFFFFF"/>
        <w:spacing w:after="0" w:line="319" w:lineRule="atLeast"/>
        <w:jc w:val="both"/>
        <w:rPr>
          <w:rFonts w:ascii="Century Gothic" w:eastAsia="Times New Roman" w:hAnsi="Century Gothic" w:cs="Arial"/>
          <w:color w:val="000000" w:themeColor="text1"/>
          <w:sz w:val="24"/>
          <w:szCs w:val="24"/>
          <w:lang w:val="es-MX"/>
        </w:rPr>
      </w:pPr>
    </w:p>
    <w:p w:rsidR="003C3D02" w:rsidRDefault="003C3D02" w:rsidP="003C3D02">
      <w:pPr>
        <w:shd w:val="clear" w:color="auto" w:fill="FFFFFF"/>
        <w:spacing w:after="0" w:line="319" w:lineRule="atLeast"/>
        <w:jc w:val="both"/>
        <w:rPr>
          <w:rFonts w:ascii="Century Gothic" w:eastAsia="Times New Roman" w:hAnsi="Century Gothic" w:cs="Arial"/>
          <w:sz w:val="24"/>
          <w:szCs w:val="24"/>
          <w:lang w:val="es-MX" w:eastAsia="es-ES"/>
        </w:rPr>
      </w:pPr>
      <w:r w:rsidRPr="003C3D02">
        <w:rPr>
          <w:rFonts w:ascii="Century Gothic" w:eastAsia="Times New Roman" w:hAnsi="Century Gothic" w:cs="Arial"/>
          <w:color w:val="000000" w:themeColor="text1"/>
          <w:sz w:val="24"/>
          <w:szCs w:val="24"/>
          <w:lang w:val="es-MX"/>
        </w:rPr>
        <w:t xml:space="preserve">A lo largo de su trayectoria académica, Cantero ha sido maestro en </w:t>
      </w:r>
      <w:r w:rsidRPr="003C3D02">
        <w:rPr>
          <w:rFonts w:ascii="Century Gothic" w:eastAsia="Times New Roman" w:hAnsi="Century Gothic" w:cs="Arial"/>
          <w:sz w:val="24"/>
          <w:szCs w:val="24"/>
          <w:lang w:val="es-MX" w:eastAsia="es-ES"/>
        </w:rPr>
        <w:t xml:space="preserve">Desarrollo Regional por El Colegio de la Frontera Norte y </w:t>
      </w:r>
      <w:proofErr w:type="spellStart"/>
      <w:r w:rsidRPr="003C3D02">
        <w:rPr>
          <w:rFonts w:ascii="Century Gothic" w:eastAsia="Times New Roman" w:hAnsi="Century Gothic" w:cs="Arial"/>
          <w:sz w:val="24"/>
          <w:szCs w:val="24"/>
          <w:lang w:val="es-MX" w:eastAsia="es-ES"/>
        </w:rPr>
        <w:t>Doctorante</w:t>
      </w:r>
      <w:proofErr w:type="spellEnd"/>
      <w:r w:rsidRPr="003C3D02">
        <w:rPr>
          <w:rFonts w:ascii="Century Gothic" w:eastAsia="Times New Roman" w:hAnsi="Century Gothic" w:cs="Arial"/>
          <w:sz w:val="24"/>
          <w:szCs w:val="24"/>
          <w:lang w:val="es-MX" w:eastAsia="es-ES"/>
        </w:rPr>
        <w:t xml:space="preserve"> en Estudios Sociales en la UAM Iztapalapa. También  ha colaborado en investigaciones en el Instituto Mexicano de Estudios Sociales A. C., UAM, </w:t>
      </w:r>
      <w:proofErr w:type="spellStart"/>
      <w:r w:rsidRPr="003C3D02">
        <w:rPr>
          <w:rFonts w:ascii="Century Gothic" w:eastAsia="Times New Roman" w:hAnsi="Century Gothic" w:cs="Arial"/>
          <w:sz w:val="24"/>
          <w:szCs w:val="24"/>
          <w:lang w:val="es-MX" w:eastAsia="es-ES"/>
        </w:rPr>
        <w:t>Colef</w:t>
      </w:r>
      <w:proofErr w:type="spellEnd"/>
      <w:r w:rsidRPr="003C3D02">
        <w:rPr>
          <w:rFonts w:ascii="Century Gothic" w:eastAsia="Times New Roman" w:hAnsi="Century Gothic" w:cs="Arial"/>
          <w:sz w:val="24"/>
          <w:szCs w:val="24"/>
          <w:lang w:val="es-MX" w:eastAsia="es-ES"/>
        </w:rPr>
        <w:t xml:space="preserve">, </w:t>
      </w:r>
      <w:proofErr w:type="spellStart"/>
      <w:r w:rsidRPr="003C3D02">
        <w:rPr>
          <w:rFonts w:ascii="Century Gothic" w:eastAsia="Times New Roman" w:hAnsi="Century Gothic" w:cs="Arial"/>
          <w:sz w:val="24"/>
          <w:szCs w:val="24"/>
          <w:lang w:val="es-MX" w:eastAsia="es-ES"/>
        </w:rPr>
        <w:t>Conacyt</w:t>
      </w:r>
      <w:proofErr w:type="spellEnd"/>
      <w:r w:rsidRPr="003C3D02">
        <w:rPr>
          <w:rFonts w:ascii="Century Gothic" w:eastAsia="Times New Roman" w:hAnsi="Century Gothic" w:cs="Arial"/>
          <w:sz w:val="24"/>
          <w:szCs w:val="24"/>
          <w:lang w:val="es-MX" w:eastAsia="es-ES"/>
        </w:rPr>
        <w:t xml:space="preserve"> y Circo Volador A.C.</w:t>
      </w:r>
    </w:p>
    <w:p w:rsidR="003C3D02" w:rsidRDefault="003C3D02" w:rsidP="003C3D02">
      <w:pPr>
        <w:shd w:val="clear" w:color="auto" w:fill="FFFFFF"/>
        <w:spacing w:after="0" w:line="319" w:lineRule="atLeast"/>
        <w:jc w:val="both"/>
        <w:rPr>
          <w:rFonts w:ascii="Century Gothic" w:eastAsia="Times New Roman" w:hAnsi="Century Gothic" w:cs="Arial"/>
          <w:sz w:val="24"/>
          <w:szCs w:val="24"/>
          <w:lang w:val="es-MX" w:eastAsia="es-ES"/>
        </w:rPr>
      </w:pPr>
    </w:p>
    <w:p w:rsidR="003C3D02" w:rsidRDefault="0024378A" w:rsidP="003C3D02">
      <w:pPr>
        <w:shd w:val="clear" w:color="auto" w:fill="FFFFFF"/>
        <w:spacing w:after="0" w:line="319" w:lineRule="atLeast"/>
        <w:jc w:val="both"/>
        <w:rPr>
          <w:rFonts w:ascii="Century Gothic" w:eastAsia="Times New Roman" w:hAnsi="Century Gothic" w:cs="Arial"/>
          <w:sz w:val="24"/>
          <w:szCs w:val="24"/>
          <w:lang w:val="es-MX" w:eastAsia="es-ES"/>
        </w:rPr>
      </w:pPr>
      <w:r>
        <w:rPr>
          <w:rFonts w:ascii="Century Gothic" w:eastAsia="Times New Roman" w:hAnsi="Century Gothic" w:cs="Arial"/>
          <w:sz w:val="24"/>
          <w:szCs w:val="24"/>
          <w:lang w:val="es-MX" w:eastAsia="es-ES"/>
        </w:rPr>
        <w:t>Durante la ponencia expuso parte de la reciente investigación que se encuentra realizando en las ciudades de Nogales y Tijuana.</w:t>
      </w:r>
    </w:p>
    <w:p w:rsidR="0024378A" w:rsidRDefault="0024378A" w:rsidP="003C3D02">
      <w:pPr>
        <w:shd w:val="clear" w:color="auto" w:fill="FFFFFF"/>
        <w:spacing w:after="0" w:line="319" w:lineRule="atLeast"/>
        <w:jc w:val="both"/>
        <w:rPr>
          <w:rFonts w:ascii="Century Gothic" w:eastAsia="Times New Roman" w:hAnsi="Century Gothic" w:cs="Arial"/>
          <w:sz w:val="24"/>
          <w:szCs w:val="24"/>
          <w:lang w:val="es-MX" w:eastAsia="es-ES"/>
        </w:rPr>
      </w:pPr>
      <w:r>
        <w:rPr>
          <w:rFonts w:ascii="Century Gothic" w:eastAsia="Times New Roman" w:hAnsi="Century Gothic" w:cs="Arial"/>
          <w:sz w:val="24"/>
          <w:szCs w:val="24"/>
          <w:lang w:val="es-MX" w:eastAsia="es-ES"/>
        </w:rPr>
        <w:t xml:space="preserve">En el caso de Tijuana, refirió a Camino Verde como una de las colonias de estudio, en la cual destacó las actividades y programas como ‘’Vivamos la calle’’, los cuales han servido para recuperar espacios públicos, gracias a la coordinación de organizaciones civiles. Así mismo recalcó a Playas de Tijuana, como otra de los puntos de estudio, en donde subrayó el arte visual como una de las actividades que se han </w:t>
      </w:r>
      <w:r w:rsidR="00E74DFE">
        <w:rPr>
          <w:rFonts w:ascii="Century Gothic" w:eastAsia="Times New Roman" w:hAnsi="Century Gothic" w:cs="Arial"/>
          <w:sz w:val="24"/>
          <w:szCs w:val="24"/>
          <w:lang w:val="es-MX" w:eastAsia="es-ES"/>
        </w:rPr>
        <w:t>realizado a través de murales o imágenes con distintas temáticas.</w:t>
      </w:r>
    </w:p>
    <w:p w:rsidR="00E74DFE" w:rsidRDefault="00E74DFE" w:rsidP="003C3D02">
      <w:pPr>
        <w:shd w:val="clear" w:color="auto" w:fill="FFFFFF"/>
        <w:spacing w:after="0" w:line="319" w:lineRule="atLeast"/>
        <w:jc w:val="both"/>
        <w:rPr>
          <w:rFonts w:ascii="Century Gothic" w:eastAsia="Times New Roman" w:hAnsi="Century Gothic" w:cs="Arial"/>
          <w:sz w:val="24"/>
          <w:szCs w:val="24"/>
          <w:lang w:val="es-MX" w:eastAsia="es-ES"/>
        </w:rPr>
      </w:pPr>
    </w:p>
    <w:p w:rsidR="00E74DFE" w:rsidRDefault="00E74DFE" w:rsidP="003C3D02">
      <w:pPr>
        <w:shd w:val="clear" w:color="auto" w:fill="FFFFFF"/>
        <w:spacing w:after="0" w:line="319" w:lineRule="atLeast"/>
        <w:jc w:val="both"/>
        <w:rPr>
          <w:rFonts w:ascii="Century Gothic" w:eastAsia="Times New Roman" w:hAnsi="Century Gothic" w:cs="Arial"/>
          <w:sz w:val="24"/>
          <w:szCs w:val="24"/>
          <w:lang w:val="es-MX" w:eastAsia="es-ES"/>
        </w:rPr>
      </w:pPr>
      <w:r>
        <w:rPr>
          <w:rFonts w:ascii="Century Gothic" w:eastAsia="Times New Roman" w:hAnsi="Century Gothic" w:cs="Arial"/>
          <w:sz w:val="24"/>
          <w:szCs w:val="24"/>
          <w:lang w:val="es-MX" w:eastAsia="es-ES"/>
        </w:rPr>
        <w:lastRenderedPageBreak/>
        <w:t>En el caso de Nogales, señaló la falta de espacios de recreación, así como la falta de instituciones que apoyen el arte y la cultura. Sin embargo de acuerdo a un análisis que presentó, comentó que con el paso de los años y la iniciativa de algunas organizaciones civiles se han realizado actividades que apoyen la labor de éste sector.</w:t>
      </w:r>
    </w:p>
    <w:p w:rsidR="00E74DFE" w:rsidRDefault="00E74DFE" w:rsidP="003C3D02">
      <w:pPr>
        <w:shd w:val="clear" w:color="auto" w:fill="FFFFFF"/>
        <w:spacing w:after="0" w:line="319" w:lineRule="atLeast"/>
        <w:jc w:val="both"/>
        <w:rPr>
          <w:rFonts w:ascii="Century Gothic" w:eastAsia="Times New Roman" w:hAnsi="Century Gothic" w:cs="Arial"/>
          <w:sz w:val="24"/>
          <w:szCs w:val="24"/>
          <w:lang w:val="es-MX" w:eastAsia="es-ES"/>
        </w:rPr>
      </w:pPr>
    </w:p>
    <w:p w:rsidR="0024378A" w:rsidRDefault="00E74DFE" w:rsidP="003C3D02">
      <w:pPr>
        <w:shd w:val="clear" w:color="auto" w:fill="FFFFFF"/>
        <w:spacing w:after="0" w:line="319" w:lineRule="atLeast"/>
        <w:jc w:val="both"/>
        <w:rPr>
          <w:rFonts w:ascii="Century Gothic" w:eastAsia="Times New Roman" w:hAnsi="Century Gothic" w:cs="Arial"/>
          <w:sz w:val="24"/>
          <w:szCs w:val="24"/>
          <w:lang w:val="es-MX" w:eastAsia="es-ES"/>
        </w:rPr>
      </w:pPr>
      <w:r>
        <w:rPr>
          <w:rFonts w:ascii="Century Gothic" w:eastAsia="Times New Roman" w:hAnsi="Century Gothic" w:cs="Arial"/>
          <w:sz w:val="24"/>
          <w:szCs w:val="24"/>
          <w:lang w:val="es-MX" w:eastAsia="es-ES"/>
        </w:rPr>
        <w:t>Gustavo Cantero resaltó que en las fronteras como Nogales y Tijuana,  el arte público contantemente recurre a temas relacionados con la migración, tomando como lienzo el muro fronterizo.</w:t>
      </w:r>
    </w:p>
    <w:p w:rsidR="00E74DFE" w:rsidRDefault="00E74DFE" w:rsidP="003C3D02">
      <w:pPr>
        <w:shd w:val="clear" w:color="auto" w:fill="FFFFFF"/>
        <w:spacing w:after="0" w:line="319" w:lineRule="atLeast"/>
        <w:jc w:val="both"/>
        <w:rPr>
          <w:rFonts w:ascii="Century Gothic" w:eastAsia="Times New Roman" w:hAnsi="Century Gothic" w:cs="Arial"/>
          <w:sz w:val="24"/>
          <w:szCs w:val="24"/>
          <w:lang w:val="es-MX" w:eastAsia="es-ES"/>
        </w:rPr>
      </w:pPr>
    </w:p>
    <w:p w:rsidR="003C3D02" w:rsidRDefault="00E74DFE" w:rsidP="00BE40F8">
      <w:pPr>
        <w:shd w:val="clear" w:color="auto" w:fill="FFFFFF"/>
        <w:spacing w:after="0" w:line="319" w:lineRule="atLeast"/>
        <w:jc w:val="both"/>
        <w:rPr>
          <w:rFonts w:ascii="Century Gothic" w:eastAsia="Times New Roman" w:hAnsi="Century Gothic" w:cs="Arial"/>
          <w:i/>
          <w:sz w:val="24"/>
          <w:szCs w:val="24"/>
          <w:lang w:val="es-MX" w:eastAsia="es-ES"/>
        </w:rPr>
      </w:pPr>
      <w:r w:rsidRPr="00BE40F8">
        <w:rPr>
          <w:rFonts w:ascii="Century Gothic" w:eastAsia="Times New Roman" w:hAnsi="Century Gothic" w:cs="Arial"/>
          <w:i/>
          <w:sz w:val="24"/>
          <w:szCs w:val="24"/>
          <w:lang w:val="es-MX" w:eastAsia="es-ES"/>
        </w:rPr>
        <w:t>‘</w:t>
      </w:r>
      <w:r w:rsidR="00BE40F8">
        <w:rPr>
          <w:rFonts w:ascii="Century Gothic" w:eastAsia="Times New Roman" w:hAnsi="Century Gothic" w:cs="Arial"/>
          <w:i/>
          <w:sz w:val="24"/>
          <w:szCs w:val="24"/>
          <w:lang w:val="es-MX" w:eastAsia="es-ES"/>
        </w:rPr>
        <w:t>’El muro fronterizo en ésta ciudad es la materia que hace visible la protesta, la comunidad, la ciudad completa es considerada como espacio público, las actividades de los colectivos aparentemente están dispersos en toda la ciudad pero coinciden en la centralidad urbana, es decir en la visión fronteriza y la zona de centro original’’.</w:t>
      </w:r>
    </w:p>
    <w:p w:rsidR="00BE40F8" w:rsidRDefault="00BE40F8" w:rsidP="00BE40F8">
      <w:pPr>
        <w:shd w:val="clear" w:color="auto" w:fill="FFFFFF"/>
        <w:spacing w:after="0" w:line="319" w:lineRule="atLeast"/>
        <w:jc w:val="both"/>
        <w:rPr>
          <w:rFonts w:ascii="Century Gothic" w:eastAsia="Times New Roman" w:hAnsi="Century Gothic" w:cs="Arial"/>
          <w:i/>
          <w:sz w:val="24"/>
          <w:szCs w:val="24"/>
          <w:lang w:val="es-MX" w:eastAsia="es-ES"/>
        </w:rPr>
      </w:pPr>
    </w:p>
    <w:p w:rsidR="00BE40F8" w:rsidRDefault="00BE40F8" w:rsidP="00BE40F8">
      <w:pPr>
        <w:shd w:val="clear" w:color="auto" w:fill="FFFFFF"/>
        <w:spacing w:after="0" w:line="319" w:lineRule="atLeast"/>
        <w:jc w:val="both"/>
        <w:rPr>
          <w:rFonts w:ascii="Century Gothic" w:eastAsia="Times New Roman" w:hAnsi="Century Gothic" w:cs="Arial"/>
          <w:sz w:val="24"/>
          <w:szCs w:val="24"/>
          <w:lang w:val="es-MX" w:eastAsia="es-ES"/>
        </w:rPr>
      </w:pPr>
      <w:r>
        <w:rPr>
          <w:rFonts w:ascii="Century Gothic" w:eastAsia="Times New Roman" w:hAnsi="Century Gothic" w:cs="Arial"/>
          <w:sz w:val="24"/>
          <w:szCs w:val="24"/>
          <w:lang w:val="es-MX" w:eastAsia="es-ES"/>
        </w:rPr>
        <w:t>Cantero concluyó que la solución para que las organizaciones sociales civiles logren captar nuevos espacios y públicos, sería tan sólo organizarse, así como el establecimiento de redes para la acción comunitaria.</w:t>
      </w:r>
    </w:p>
    <w:p w:rsidR="00BE40F8" w:rsidRDefault="00BE40F8" w:rsidP="00BE40F8">
      <w:pPr>
        <w:shd w:val="clear" w:color="auto" w:fill="FFFFFF"/>
        <w:spacing w:after="0" w:line="319" w:lineRule="atLeast"/>
        <w:jc w:val="both"/>
        <w:rPr>
          <w:rFonts w:ascii="Century Gothic" w:eastAsia="Times New Roman" w:hAnsi="Century Gothic" w:cs="Arial"/>
          <w:sz w:val="24"/>
          <w:szCs w:val="24"/>
          <w:lang w:val="es-MX" w:eastAsia="es-ES"/>
        </w:rPr>
      </w:pPr>
    </w:p>
    <w:p w:rsidR="005807A6" w:rsidRDefault="00BE40F8" w:rsidP="005807A6">
      <w:pPr>
        <w:spacing w:after="0" w:line="240" w:lineRule="auto"/>
        <w:jc w:val="both"/>
        <w:rPr>
          <w:rFonts w:ascii="Century Gothic" w:hAnsi="Century Gothic" w:cs="Arial"/>
          <w:color w:val="000000" w:themeColor="text1"/>
          <w:sz w:val="24"/>
          <w:szCs w:val="24"/>
          <w:shd w:val="clear" w:color="auto" w:fill="FFFFFF"/>
          <w:lang w:val="es-MX"/>
        </w:rPr>
      </w:pPr>
      <w:r>
        <w:rPr>
          <w:rFonts w:ascii="Century Gothic" w:eastAsia="Times New Roman" w:hAnsi="Century Gothic" w:cs="Arial"/>
          <w:sz w:val="24"/>
          <w:szCs w:val="24"/>
          <w:lang w:val="es-MX" w:eastAsia="es-ES"/>
        </w:rPr>
        <w:t xml:space="preserve">La conferencia </w:t>
      </w:r>
      <w:r w:rsidRPr="003C3D02">
        <w:rPr>
          <w:rFonts w:ascii="Century Gothic" w:eastAsia="Times New Roman" w:hAnsi="Century Gothic" w:cs="Arial"/>
          <w:color w:val="000000" w:themeColor="text1"/>
          <w:sz w:val="24"/>
          <w:szCs w:val="24"/>
          <w:lang w:val="es-MX"/>
        </w:rPr>
        <w:t>“Acciones de la sociedad civil para mejorar el entorno urbano. L</w:t>
      </w:r>
      <w:r>
        <w:rPr>
          <w:rFonts w:ascii="Century Gothic" w:eastAsia="Times New Roman" w:hAnsi="Century Gothic" w:cs="Arial"/>
          <w:color w:val="000000" w:themeColor="text1"/>
          <w:sz w:val="24"/>
          <w:szCs w:val="24"/>
          <w:lang w:val="es-MX"/>
        </w:rPr>
        <w:t xml:space="preserve">os casos de Tijuana y Nogales’’ fue impartida </w:t>
      </w:r>
      <w:r w:rsidR="005807A6">
        <w:rPr>
          <w:rFonts w:ascii="Century Gothic" w:eastAsia="Times New Roman" w:hAnsi="Century Gothic" w:cs="Arial"/>
          <w:color w:val="000000" w:themeColor="text1"/>
          <w:sz w:val="24"/>
          <w:szCs w:val="24"/>
          <w:lang w:val="es-MX"/>
        </w:rPr>
        <w:t xml:space="preserve">este 30 de septiembre en la Sala de Usos Múltiples del CECUT a las 18:00 horas y contó con la presencia </w:t>
      </w:r>
      <w:r w:rsidR="005807A6">
        <w:rPr>
          <w:rFonts w:ascii="Century Gothic" w:hAnsi="Century Gothic" w:cs="Arial"/>
          <w:color w:val="000000" w:themeColor="text1"/>
          <w:sz w:val="24"/>
          <w:szCs w:val="24"/>
          <w:shd w:val="clear" w:color="auto" w:fill="FFFFFF"/>
          <w:lang w:val="es-MX"/>
        </w:rPr>
        <w:t xml:space="preserve">del Director General de </w:t>
      </w:r>
      <w:proofErr w:type="spellStart"/>
      <w:r w:rsidR="005807A6">
        <w:rPr>
          <w:rFonts w:ascii="Century Gothic" w:hAnsi="Century Gothic" w:cs="Arial"/>
          <w:color w:val="000000" w:themeColor="text1"/>
          <w:sz w:val="24"/>
          <w:szCs w:val="24"/>
          <w:shd w:val="clear" w:color="auto" w:fill="FFFFFF"/>
          <w:lang w:val="es-MX"/>
        </w:rPr>
        <w:t>entijuanarte</w:t>
      </w:r>
      <w:proofErr w:type="spellEnd"/>
      <w:r w:rsidR="005807A6">
        <w:rPr>
          <w:rFonts w:ascii="Century Gothic" w:hAnsi="Century Gothic" w:cs="Arial"/>
          <w:color w:val="000000" w:themeColor="text1"/>
          <w:sz w:val="24"/>
          <w:szCs w:val="24"/>
          <w:shd w:val="clear" w:color="auto" w:fill="FFFFFF"/>
          <w:lang w:val="es-MX"/>
        </w:rPr>
        <w:t xml:space="preserve">, Julio Rodríguez Ramos y la Presidenta de la Fundación </w:t>
      </w:r>
      <w:proofErr w:type="spellStart"/>
      <w:r w:rsidR="005807A6">
        <w:rPr>
          <w:rFonts w:ascii="Century Gothic" w:hAnsi="Century Gothic" w:cs="Arial"/>
          <w:color w:val="000000" w:themeColor="text1"/>
          <w:sz w:val="24"/>
          <w:szCs w:val="24"/>
          <w:shd w:val="clear" w:color="auto" w:fill="FFFFFF"/>
          <w:lang w:val="es-MX"/>
        </w:rPr>
        <w:t>entijuanarte</w:t>
      </w:r>
      <w:proofErr w:type="spellEnd"/>
      <w:r w:rsidR="005807A6">
        <w:rPr>
          <w:rFonts w:ascii="Century Gothic" w:hAnsi="Century Gothic" w:cs="Arial"/>
          <w:color w:val="000000" w:themeColor="text1"/>
          <w:sz w:val="24"/>
          <w:szCs w:val="24"/>
          <w:shd w:val="clear" w:color="auto" w:fill="FFFFFF"/>
          <w:lang w:val="es-MX"/>
        </w:rPr>
        <w:t xml:space="preserve"> A.C. Cecilia Ochoa Vázquez.</w:t>
      </w:r>
    </w:p>
    <w:p w:rsidR="00BE40F8" w:rsidRDefault="00BE40F8" w:rsidP="00BE40F8">
      <w:pPr>
        <w:shd w:val="clear" w:color="auto" w:fill="FFFFFF"/>
        <w:spacing w:after="0" w:line="319" w:lineRule="atLeast"/>
        <w:jc w:val="both"/>
        <w:rPr>
          <w:rFonts w:ascii="Century Gothic" w:eastAsia="Times New Roman" w:hAnsi="Century Gothic" w:cs="Arial"/>
          <w:color w:val="000000" w:themeColor="text1"/>
          <w:sz w:val="24"/>
          <w:szCs w:val="24"/>
          <w:lang w:val="es-MX"/>
        </w:rPr>
      </w:pPr>
    </w:p>
    <w:p w:rsidR="005807A6" w:rsidRPr="003C3D02" w:rsidRDefault="005807A6" w:rsidP="00BE40F8">
      <w:pPr>
        <w:shd w:val="clear" w:color="auto" w:fill="FFFFFF"/>
        <w:spacing w:after="0" w:line="319" w:lineRule="atLeast"/>
        <w:jc w:val="both"/>
        <w:rPr>
          <w:rFonts w:ascii="Century Gothic" w:eastAsia="Times New Roman" w:hAnsi="Century Gothic" w:cs="Arial"/>
          <w:color w:val="000000" w:themeColor="text1"/>
          <w:sz w:val="24"/>
          <w:szCs w:val="24"/>
          <w:lang w:val="es-MX"/>
        </w:rPr>
      </w:pPr>
      <w:r>
        <w:rPr>
          <w:rFonts w:ascii="Century Gothic" w:eastAsia="Times New Roman" w:hAnsi="Century Gothic" w:cs="Arial"/>
          <w:color w:val="000000" w:themeColor="text1"/>
          <w:sz w:val="24"/>
          <w:szCs w:val="24"/>
          <w:lang w:val="es-MX"/>
        </w:rPr>
        <w:t>El ciclo de conferencias ‘’Voces de la Cultura’’ se reanudará el 01 de octubre en la Sala de Usos Múltiples del CECUT a las 18:00 horas.</w:t>
      </w:r>
    </w:p>
    <w:p w:rsidR="00BE40F8" w:rsidRPr="00BE40F8" w:rsidRDefault="00BE40F8" w:rsidP="00BE40F8">
      <w:pPr>
        <w:shd w:val="clear" w:color="auto" w:fill="FFFFFF"/>
        <w:spacing w:after="0" w:line="319" w:lineRule="atLeast"/>
        <w:jc w:val="both"/>
        <w:rPr>
          <w:rFonts w:ascii="Century Gothic" w:eastAsia="Times New Roman" w:hAnsi="Century Gothic" w:cs="Arial"/>
          <w:sz w:val="24"/>
          <w:szCs w:val="24"/>
          <w:lang w:val="es-MX" w:eastAsia="es-ES"/>
        </w:rPr>
      </w:pPr>
    </w:p>
    <w:p w:rsidR="003C3D02" w:rsidRPr="003C3D02" w:rsidRDefault="003C3D02" w:rsidP="003C3D02">
      <w:pPr>
        <w:shd w:val="clear" w:color="auto" w:fill="FFFFFF"/>
        <w:spacing w:after="0" w:line="319" w:lineRule="atLeast"/>
        <w:rPr>
          <w:rFonts w:ascii="Century Gothic" w:eastAsia="Times New Roman" w:hAnsi="Century Gothic" w:cs="Times New Roman"/>
          <w:color w:val="000000" w:themeColor="text1"/>
          <w:sz w:val="24"/>
          <w:szCs w:val="24"/>
          <w:lang w:val="es-MX"/>
        </w:rPr>
      </w:pPr>
    </w:p>
    <w:p w:rsidR="00F60308" w:rsidRPr="00F60308" w:rsidRDefault="00F60308" w:rsidP="0010789A">
      <w:pPr>
        <w:pStyle w:val="paragraphstyle1"/>
        <w:shd w:val="clear" w:color="auto" w:fill="FFFFFF"/>
        <w:spacing w:before="0" w:beforeAutospacing="0" w:after="0" w:afterAutospacing="0" w:line="270" w:lineRule="atLeast"/>
        <w:jc w:val="both"/>
        <w:rPr>
          <w:rFonts w:ascii="Century Gothic" w:hAnsi="Century Gothic"/>
          <w:lang w:val="es-MX"/>
        </w:rPr>
      </w:pPr>
    </w:p>
    <w:p w:rsidR="000922A2" w:rsidRPr="0010789A" w:rsidRDefault="000922A2" w:rsidP="0010789A">
      <w:pPr>
        <w:jc w:val="both"/>
        <w:rPr>
          <w:rFonts w:ascii="Century Gothic" w:hAnsi="Century Gothic"/>
          <w:sz w:val="24"/>
          <w:szCs w:val="24"/>
          <w:lang w:val="es-ES"/>
        </w:rPr>
      </w:pPr>
    </w:p>
    <w:p w:rsidR="000922A2" w:rsidRPr="00354EA2" w:rsidRDefault="000922A2" w:rsidP="0083376E">
      <w:pPr>
        <w:spacing w:after="0" w:line="240" w:lineRule="auto"/>
        <w:rPr>
          <w:rFonts w:ascii="Century Gothic" w:hAnsi="Century Gothic" w:cs="Arial"/>
          <w:bCs/>
          <w:color w:val="000000" w:themeColor="text1"/>
          <w:sz w:val="24"/>
          <w:szCs w:val="24"/>
          <w:lang w:val="es-ES"/>
        </w:rPr>
      </w:pPr>
    </w:p>
    <w:p w:rsidR="0083376E" w:rsidRPr="00354EA2"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365CB1">
      <w:pPr>
        <w:pStyle w:val="ecxmsonormal"/>
        <w:shd w:val="clear" w:color="auto" w:fill="FFFFFF"/>
        <w:spacing w:before="0" w:beforeAutospacing="0" w:after="0" w:afterAutospacing="0"/>
        <w:jc w:val="center"/>
        <w:rPr>
          <w:rFonts w:ascii="Century Gothic" w:hAnsi="Century Gothic" w:cs="Arial"/>
          <w:b/>
          <w:bCs/>
          <w:color w:val="9BBB59"/>
          <w:lang w:val="es-MX"/>
        </w:rPr>
      </w:pPr>
      <w:r w:rsidRPr="00610B2E">
        <w:rPr>
          <w:rFonts w:ascii="Century Gothic" w:hAnsi="Century Gothic" w:cs="Arial"/>
          <w:b/>
          <w:bCs/>
          <w:color w:val="9BBB59"/>
          <w:lang w:val="es-MX"/>
        </w:rPr>
        <w:t>Atentamente</w:t>
      </w:r>
    </w:p>
    <w:p w:rsidR="0083376E" w:rsidRPr="00610B2E" w:rsidRDefault="0083376E" w:rsidP="00365CB1">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Pr="00610B2E" w:rsidRDefault="0083376E" w:rsidP="00365CB1">
      <w:pPr>
        <w:pStyle w:val="ecxmsonormal"/>
        <w:shd w:val="clear" w:color="auto" w:fill="FFFFFF"/>
        <w:spacing w:before="0" w:beforeAutospacing="0" w:after="0" w:afterAutospacing="0"/>
        <w:jc w:val="center"/>
        <w:rPr>
          <w:rFonts w:ascii="Century Gothic" w:hAnsi="Century Gothic"/>
          <w:color w:val="444444"/>
          <w:lang w:val="es-MX"/>
        </w:rPr>
      </w:pPr>
      <w:r w:rsidRPr="00610B2E">
        <w:rPr>
          <w:rFonts w:ascii="Century Gothic" w:hAnsi="Century Gothic" w:cs="Arial"/>
          <w:b/>
          <w:bCs/>
          <w:color w:val="7F7F7F"/>
          <w:lang w:val="es-MX"/>
        </w:rPr>
        <w:t>Coordinación de Comunicación y Prensa</w:t>
      </w:r>
    </w:p>
    <w:p w:rsidR="0083376E" w:rsidRPr="00610B2E" w:rsidRDefault="0083376E" w:rsidP="00365CB1">
      <w:pPr>
        <w:pStyle w:val="ecxmsonormal"/>
        <w:shd w:val="clear" w:color="auto" w:fill="FFFFFF"/>
        <w:spacing w:before="0" w:beforeAutospacing="0" w:after="0" w:afterAutospacing="0"/>
        <w:jc w:val="center"/>
        <w:rPr>
          <w:rFonts w:ascii="Century Gothic" w:hAnsi="Century Gothic"/>
          <w:color w:val="444444"/>
          <w:lang w:val="es-MX"/>
        </w:rPr>
      </w:pPr>
      <w:proofErr w:type="spellStart"/>
      <w:proofErr w:type="gramStart"/>
      <w:r w:rsidRPr="00610B2E">
        <w:rPr>
          <w:rFonts w:ascii="Century Gothic" w:hAnsi="Century Gothic" w:cs="Arial"/>
          <w:b/>
          <w:bCs/>
          <w:color w:val="7F7F7F"/>
          <w:lang w:val="es-MX"/>
        </w:rPr>
        <w:t>en</w:t>
      </w:r>
      <w:r w:rsidRPr="00610B2E">
        <w:rPr>
          <w:rFonts w:ascii="Century Gothic" w:hAnsi="Century Gothic" w:cs="Arial"/>
          <w:b/>
          <w:bCs/>
          <w:color w:val="9BBB59"/>
          <w:lang w:val="es-MX"/>
        </w:rPr>
        <w:t>tijuana</w:t>
      </w:r>
      <w:r w:rsidRPr="00610B2E">
        <w:rPr>
          <w:rFonts w:ascii="Century Gothic" w:hAnsi="Century Gothic" w:cs="Arial"/>
          <w:b/>
          <w:bCs/>
          <w:color w:val="7F7F7F"/>
          <w:lang w:val="es-MX"/>
        </w:rPr>
        <w:t>rte</w:t>
      </w:r>
      <w:proofErr w:type="spellEnd"/>
      <w:proofErr w:type="gramEnd"/>
      <w:r w:rsidRPr="00610B2E">
        <w:rPr>
          <w:rFonts w:ascii="Century Gothic" w:hAnsi="Century Gothic" w:cs="Arial"/>
          <w:b/>
          <w:bCs/>
          <w:color w:val="7F7F7F"/>
          <w:lang w:val="es-MX"/>
        </w:rPr>
        <w:t xml:space="preserve"> 2014</w:t>
      </w:r>
      <w:r>
        <w:rPr>
          <w:rFonts w:ascii="Century Gothic" w:hAnsi="Century Gothic" w:cs="Arial"/>
          <w:b/>
          <w:bCs/>
          <w:color w:val="7F7F7F"/>
          <w:lang w:val="es-MX"/>
        </w:rPr>
        <w:t xml:space="preserve"> I festival cultural</w:t>
      </w:r>
    </w:p>
    <w:p w:rsidR="0083376E" w:rsidRDefault="0083376E" w:rsidP="00365CB1">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 xml:space="preserve">T. </w:t>
      </w:r>
      <w:r w:rsidRPr="00610B2E">
        <w:rPr>
          <w:rFonts w:ascii="Century Gothic" w:hAnsi="Century Gothic" w:cs="Arial"/>
          <w:b/>
          <w:bCs/>
          <w:color w:val="7F7F7F"/>
          <w:lang w:val="es-MX"/>
        </w:rPr>
        <w:t>(664)621-1493</w:t>
      </w:r>
      <w:r>
        <w:rPr>
          <w:rFonts w:ascii="Century Gothic" w:hAnsi="Century Gothic" w:cs="Arial"/>
          <w:b/>
          <w:bCs/>
          <w:color w:val="7F7F7F"/>
          <w:lang w:val="es-MX"/>
        </w:rPr>
        <w:t xml:space="preserve"> D. Calle Central #12871</w:t>
      </w:r>
    </w:p>
    <w:p w:rsidR="0083376E" w:rsidRPr="00610B2E" w:rsidRDefault="0083376E" w:rsidP="00365CB1">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Hipódromo II C.P. 22195</w:t>
      </w:r>
    </w:p>
    <w:p w:rsidR="0083376E" w:rsidRPr="00610B2E" w:rsidRDefault="003F5C74" w:rsidP="00365CB1">
      <w:pPr>
        <w:pStyle w:val="ecxmsonormal"/>
        <w:shd w:val="clear" w:color="auto" w:fill="FFFFFF"/>
        <w:spacing w:before="0" w:beforeAutospacing="0" w:after="0" w:afterAutospacing="0"/>
        <w:jc w:val="center"/>
        <w:rPr>
          <w:rFonts w:ascii="Century Gothic" w:hAnsi="Century Gothic" w:cs="Arial"/>
          <w:b/>
          <w:bCs/>
          <w:color w:val="9BBB59" w:themeColor="accent3"/>
          <w:lang w:val="es-MX"/>
        </w:rPr>
      </w:pPr>
      <w:hyperlink r:id="rId6" w:history="1">
        <w:r w:rsidR="0083376E" w:rsidRPr="00610B2E">
          <w:rPr>
            <w:rStyle w:val="Hipervnculo"/>
            <w:rFonts w:ascii="Century Gothic" w:hAnsi="Century Gothic" w:cs="Arial"/>
            <w:b/>
            <w:bCs/>
            <w:color w:val="9BBB59" w:themeColor="accent3"/>
            <w:lang w:val="es-MX"/>
          </w:rPr>
          <w:t>www.entijuanarte.org</w:t>
        </w:r>
      </w:hyperlink>
    </w:p>
    <w:p w:rsidR="0083376E" w:rsidRPr="00FE2593" w:rsidRDefault="0083376E" w:rsidP="0083376E">
      <w:pPr>
        <w:spacing w:after="0" w:line="240" w:lineRule="auto"/>
        <w:rPr>
          <w:rFonts w:ascii="Century Gothic" w:hAnsi="Century Gothic"/>
          <w:b/>
          <w:lang w:val="es-MX"/>
        </w:rPr>
      </w:pPr>
    </w:p>
    <w:p w:rsidR="00152075" w:rsidRPr="00152075" w:rsidRDefault="00152075" w:rsidP="002614F2">
      <w:pPr>
        <w:spacing w:after="0" w:line="240" w:lineRule="auto"/>
        <w:rPr>
          <w:rFonts w:ascii="Arial" w:hAnsi="Arial" w:cs="Arial"/>
          <w:b/>
          <w:sz w:val="24"/>
          <w:szCs w:val="24"/>
          <w:rtl/>
          <w:lang w:val="es-MX"/>
        </w:rPr>
      </w:pPr>
    </w:p>
    <w:sectPr w:rsidR="00152075" w:rsidRPr="00152075" w:rsidSect="00E0390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152075"/>
    <w:rsid w:val="000922A2"/>
    <w:rsid w:val="0009674D"/>
    <w:rsid w:val="000A019B"/>
    <w:rsid w:val="0010789A"/>
    <w:rsid w:val="00113FE7"/>
    <w:rsid w:val="001447E9"/>
    <w:rsid w:val="00152075"/>
    <w:rsid w:val="001B38EA"/>
    <w:rsid w:val="0024378A"/>
    <w:rsid w:val="002614F2"/>
    <w:rsid w:val="00354EA2"/>
    <w:rsid w:val="00365CB1"/>
    <w:rsid w:val="003C3D02"/>
    <w:rsid w:val="003F5C74"/>
    <w:rsid w:val="00434D7E"/>
    <w:rsid w:val="00495E15"/>
    <w:rsid w:val="0049682C"/>
    <w:rsid w:val="00525D68"/>
    <w:rsid w:val="005807A6"/>
    <w:rsid w:val="006820D6"/>
    <w:rsid w:val="0083376E"/>
    <w:rsid w:val="008A4E78"/>
    <w:rsid w:val="00943D0F"/>
    <w:rsid w:val="00985CC7"/>
    <w:rsid w:val="00AC003B"/>
    <w:rsid w:val="00B24AEC"/>
    <w:rsid w:val="00B8405F"/>
    <w:rsid w:val="00BE40F8"/>
    <w:rsid w:val="00C272A3"/>
    <w:rsid w:val="00CD0B5F"/>
    <w:rsid w:val="00CF2BAD"/>
    <w:rsid w:val="00D13679"/>
    <w:rsid w:val="00D42A1E"/>
    <w:rsid w:val="00E03901"/>
    <w:rsid w:val="00E74DFE"/>
    <w:rsid w:val="00EF3514"/>
    <w:rsid w:val="00F064E8"/>
    <w:rsid w:val="00F60308"/>
    <w:rsid w:val="00F6364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C7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5207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2075"/>
    <w:rPr>
      <w:rFonts w:ascii="Tahoma" w:hAnsi="Tahoma" w:cs="Tahoma"/>
      <w:sz w:val="16"/>
      <w:szCs w:val="16"/>
    </w:rPr>
  </w:style>
  <w:style w:type="character" w:styleId="Hipervnculo">
    <w:name w:val="Hyperlink"/>
    <w:basedOn w:val="Fuentedeprrafopredeter"/>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Fuentedeprrafopredeter"/>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tijuanarte.org" TargetMode="External"/><Relationship Id="rId5" Type="http://schemas.openxmlformats.org/officeDocument/2006/relationships/image" Target="media/image2.jpeg"/><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525</Words>
  <Characters>2891</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alpha</cp:lastModifiedBy>
  <cp:revision>2</cp:revision>
  <dcterms:created xsi:type="dcterms:W3CDTF">2014-10-01T04:29:00Z</dcterms:created>
  <dcterms:modified xsi:type="dcterms:W3CDTF">2014-10-01T04:29:00Z</dcterms:modified>
</cp:coreProperties>
</file>